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28"/>
          <w:szCs w:val="28"/>
          <w:highlight w:val="none"/>
        </w:rPr>
      </w:pPr>
      <w:bookmarkStart w:id="1" w:name="_GoBack"/>
      <w:r>
        <w:rPr>
          <w:rFonts w:hint="eastAsia" w:ascii="仿宋" w:hAnsi="仿宋" w:eastAsia="仿宋"/>
          <w:sz w:val="28"/>
          <w:szCs w:val="28"/>
          <w:highlight w:val="none"/>
        </w:rPr>
        <w:t>宜宾市商业银行理财产品投资运作及资产配置报告</w:t>
      </w:r>
    </w:p>
    <w:p>
      <w:pPr>
        <w:jc w:val="center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（202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第二季度及上半年</w:t>
      </w:r>
      <w:r>
        <w:rPr>
          <w:rFonts w:hint="eastAsia" w:ascii="仿宋" w:hAnsi="仿宋" w:eastAsia="仿宋"/>
          <w:sz w:val="28"/>
          <w:szCs w:val="28"/>
          <w:highlight w:val="none"/>
        </w:rPr>
        <w:t>）</w:t>
      </w:r>
    </w:p>
    <w:p>
      <w:pPr>
        <w:pStyle w:val="8"/>
        <w:numPr>
          <w:ilvl w:val="0"/>
          <w:numId w:val="1"/>
        </w:numPr>
        <w:ind w:firstLineChars="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产品整体情况</w:t>
      </w:r>
    </w:p>
    <w:p>
      <w:pPr>
        <w:ind w:firstLine="700" w:firstLineChars="25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上半年</w:t>
      </w:r>
      <w:r>
        <w:rPr>
          <w:rFonts w:hint="eastAsia" w:ascii="仿宋" w:hAnsi="仿宋" w:eastAsia="仿宋"/>
          <w:sz w:val="28"/>
          <w:szCs w:val="28"/>
          <w:highlight w:val="none"/>
        </w:rPr>
        <w:t>期间，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未新</w:t>
      </w:r>
      <w:r>
        <w:rPr>
          <w:rFonts w:hint="eastAsia" w:ascii="仿宋" w:hAnsi="仿宋" w:eastAsia="仿宋"/>
          <w:sz w:val="28"/>
          <w:szCs w:val="28"/>
          <w:highlight w:val="none"/>
        </w:rPr>
        <w:t>发行理财产品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终止一只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非保本浮动收益类、固定收益类、净值型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现金管理类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理财产品，该产品累计兑付客户本金49.62亿元</w:t>
      </w:r>
      <w:r>
        <w:rPr>
          <w:rFonts w:hint="eastAsia" w:ascii="仿宋" w:hAnsi="仿宋" w:eastAsia="仿宋"/>
          <w:sz w:val="28"/>
          <w:szCs w:val="28"/>
          <w:highlight w:val="none"/>
        </w:rPr>
        <w:t>。截止202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月3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  <w:highlight w:val="none"/>
        </w:rPr>
        <w:t>日，共存续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只非保本浮动收益类、固定收益类、净值型理财产品，实收本金合计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12.31</w:t>
      </w:r>
      <w:r>
        <w:rPr>
          <w:rFonts w:hint="eastAsia" w:ascii="仿宋" w:hAnsi="仿宋" w:eastAsia="仿宋"/>
          <w:sz w:val="28"/>
          <w:szCs w:val="28"/>
          <w:highlight w:val="none"/>
        </w:rPr>
        <w:t>亿元。202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月3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0日</w:t>
      </w:r>
      <w:r>
        <w:rPr>
          <w:rFonts w:hint="eastAsia" w:ascii="仿宋" w:hAnsi="仿宋" w:eastAsia="仿宋"/>
          <w:sz w:val="28"/>
          <w:szCs w:val="28"/>
          <w:highlight w:val="none"/>
        </w:rPr>
        <w:t>的业绩比较基准如下：</w:t>
      </w:r>
    </w:p>
    <w:tbl>
      <w:tblPr>
        <w:tblStyle w:val="4"/>
        <w:tblW w:w="84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1600"/>
        <w:gridCol w:w="2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业绩比较基准（%）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宜宾市商业银行金竹28天周期型定期开放式净值型人民币理财产品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固定收益类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1.6-2.1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宜宾市商业银行金竹98天周期型定期开放式净值型人民币理财产品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固定收益类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1.7-2.2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宜宾市商业银行金竹182天周期型定期开放式净值型人民币理财产品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固定收益类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暂停销售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宜宾市商业银行金竹270天周期型定期开放式净值型人民币理财产品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固定收益类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暂停销售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宜宾市商业银行金竹721天（2022款）周期型定期开放式净值型人民币理财产品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固定收益类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暂停销售</w:t>
            </w:r>
          </w:p>
        </w:tc>
      </w:tr>
      <w:bookmarkEnd w:id="0"/>
    </w:tbl>
    <w:p>
      <w:pPr>
        <w:pStyle w:val="8"/>
        <w:numPr>
          <w:ilvl w:val="0"/>
          <w:numId w:val="1"/>
        </w:numPr>
        <w:ind w:firstLineChars="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资产配置情况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截止202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月末，我行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只非保本净值型理财产品资产配置信息披露情况如下：</w:t>
      </w:r>
    </w:p>
    <w:tbl>
      <w:tblPr>
        <w:tblStyle w:val="4"/>
        <w:tblW w:w="70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190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/>
                <w:i w:val="0"/>
                <w:iCs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资产种类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/>
                <w:i w:val="0"/>
                <w:iCs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资产规模（万元）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/>
                <w:i w:val="0"/>
                <w:iCs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占投资组合的比例（%）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/>
                <w:i w:val="0"/>
                <w:iCs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现金及银行存款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12,770.36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9.59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/>
                <w:i w:val="0"/>
                <w:iCs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同业存单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999.41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0.75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/>
                <w:i w:val="0"/>
                <w:iCs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买入返售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32,104.95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24.11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/>
                <w:i w:val="0"/>
                <w:iCs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债券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87,258.30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65.55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/>
                <w:i w:val="0"/>
                <w:iCs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133,133.02 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100.00 </w:t>
            </w:r>
          </w:p>
        </w:tc>
      </w:tr>
    </w:tbl>
    <w:p>
      <w:pPr>
        <w:rPr>
          <w:rFonts w:hint="eastAsia" w:ascii="仿宋" w:hAnsi="仿宋" w:eastAsia="仿宋" w:cs="宋体"/>
          <w:color w:val="000000"/>
          <w:kern w:val="0"/>
          <w:sz w:val="24"/>
          <w:szCs w:val="24"/>
          <w:highlight w:val="none"/>
        </w:rPr>
      </w:pPr>
    </w:p>
    <w:p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highlight w:val="none"/>
        </w:rPr>
        <w:t>备注：以上投资资产均为直接投资。</w:t>
      </w:r>
    </w:p>
    <w:p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投资组合的流动性风险情况。从当前的资产分析，我行理财产品投资组合的流动性风险可控，现金及银行存款、同业存单、买入返售都是变现能力较强、流动性较好的资产；债券中，以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国企</w:t>
      </w:r>
      <w:r>
        <w:rPr>
          <w:rFonts w:hint="eastAsia" w:ascii="仿宋" w:hAnsi="仿宋" w:eastAsia="仿宋"/>
          <w:sz w:val="28"/>
          <w:szCs w:val="28"/>
          <w:highlight w:val="none"/>
        </w:rPr>
        <w:t>债券为主，在市场上有活跃市场报价。同时，做好投前、投后的管理工作，密切跟进资产的经营情况、财务情况、声誉及舆情导向，时时关注流动性风险的变化情况。</w:t>
      </w:r>
    </w:p>
    <w:p>
      <w:pPr>
        <w:numPr>
          <w:ilvl w:val="0"/>
          <w:numId w:val="1"/>
        </w:numPr>
        <w:ind w:left="720" w:leftChars="0" w:hanging="720" w:firstLineChars="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关联交易情况</w:t>
      </w:r>
    </w:p>
    <w:p>
      <w:pPr>
        <w:ind w:firstLine="420" w:firstLineChars="15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依据《商业银行理财业务监督管理办法》等相关监管规定，截止202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月3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  <w:highlight w:val="none"/>
        </w:rPr>
        <w:t>日，本行存续理财产品对应资产与关联机构相关事项主要包括：投资关联机构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作为</w:t>
      </w:r>
      <w:r>
        <w:rPr>
          <w:rFonts w:hint="eastAsia" w:ascii="仿宋" w:hAnsi="仿宋" w:eastAsia="仿宋"/>
          <w:sz w:val="28"/>
          <w:szCs w:val="28"/>
          <w:highlight w:val="none"/>
        </w:rPr>
        <w:t>承销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商</w:t>
      </w:r>
      <w:r>
        <w:rPr>
          <w:rFonts w:hint="eastAsia" w:ascii="仿宋" w:hAnsi="仿宋" w:eastAsia="仿宋"/>
          <w:sz w:val="28"/>
          <w:szCs w:val="28"/>
          <w:highlight w:val="none"/>
        </w:rPr>
        <w:t>的债券合计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2.56</w:t>
      </w:r>
      <w:r>
        <w:rPr>
          <w:rFonts w:hint="eastAsia" w:ascii="仿宋" w:hAnsi="仿宋" w:eastAsia="仿宋"/>
          <w:sz w:val="28"/>
          <w:szCs w:val="28"/>
          <w:highlight w:val="none"/>
        </w:rPr>
        <w:t>亿元。本行理财产品与关联机构业务事项符合理财产品投资目标、投资策略和投资者利率优先原则，按照商业原则，以不优先于非关联方同类交易的条件进行，特此披露。</w:t>
      </w:r>
    </w:p>
    <w:p>
      <w:pPr>
        <w:numPr>
          <w:ilvl w:val="0"/>
          <w:numId w:val="1"/>
        </w:numPr>
        <w:ind w:left="720" w:leftChars="0" w:hanging="720" w:firstLineChars="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前十大投资资产情况</w:t>
      </w:r>
    </w:p>
    <w:tbl>
      <w:tblPr>
        <w:tblStyle w:val="4"/>
        <w:tblW w:w="6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56"/>
        <w:gridCol w:w="238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资产类别</w:t>
            </w:r>
          </w:p>
        </w:tc>
        <w:tc>
          <w:tcPr>
            <w:tcW w:w="2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金额（单位：万元）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占比（%）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买入返售金融资产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32,104.95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银行存款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12,770.36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24进出03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8,078.32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23凉山02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5,311.80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23绵控06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5,209.79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24成都开投PPN003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5,158.44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22西盛投资PPN004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5,105.37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24眉天01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5,097.84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26凉山01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5,092.89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24蓉西01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5,086.72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3.82</w:t>
            </w:r>
          </w:p>
        </w:tc>
      </w:tr>
    </w:tbl>
    <w:p>
      <w:pPr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感谢您投资宜宾市商业银行理财产品，敬请继续关注我行的理财产品。</w:t>
      </w:r>
    </w:p>
    <w:p>
      <w:pPr>
        <w:rPr>
          <w:rFonts w:ascii="仿宋" w:hAnsi="仿宋" w:eastAsia="仿宋"/>
          <w:sz w:val="28"/>
          <w:szCs w:val="28"/>
          <w:highlight w:val="none"/>
        </w:rPr>
      </w:pPr>
    </w:p>
    <w:p>
      <w:pPr>
        <w:pStyle w:val="8"/>
        <w:ind w:firstLine="0" w:firstLineChars="0"/>
        <w:jc w:val="righ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宜宾市商业银行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highlight w:val="none"/>
          <w:lang w:val="en-US" w:eastAsia="zh-CN"/>
        </w:rPr>
        <w:t>股份有限公司</w:t>
      </w:r>
    </w:p>
    <w:p>
      <w:pPr>
        <w:jc w:val="right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</w:p>
    <w:p>
      <w:pPr>
        <w:ind w:firstLine="420" w:firstLineChars="150"/>
        <w:jc w:val="right"/>
        <w:rPr>
          <w:rFonts w:ascii="仿宋" w:hAnsi="仿宋" w:eastAsia="仿宋"/>
          <w:sz w:val="28"/>
          <w:szCs w:val="28"/>
          <w:highlight w:val="none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291279"/>
    <w:multiLevelType w:val="multilevel"/>
    <w:tmpl w:val="4829127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E2A46"/>
    <w:rsid w:val="00007E27"/>
    <w:rsid w:val="00116C1B"/>
    <w:rsid w:val="00131924"/>
    <w:rsid w:val="00154A57"/>
    <w:rsid w:val="00202DE6"/>
    <w:rsid w:val="002061F0"/>
    <w:rsid w:val="002F53D4"/>
    <w:rsid w:val="0030785C"/>
    <w:rsid w:val="00342910"/>
    <w:rsid w:val="00360665"/>
    <w:rsid w:val="004233E1"/>
    <w:rsid w:val="00437883"/>
    <w:rsid w:val="00440A8F"/>
    <w:rsid w:val="00467894"/>
    <w:rsid w:val="00493A06"/>
    <w:rsid w:val="00500420"/>
    <w:rsid w:val="00553E4D"/>
    <w:rsid w:val="005E4CAD"/>
    <w:rsid w:val="006B42E3"/>
    <w:rsid w:val="00716B2C"/>
    <w:rsid w:val="00720048"/>
    <w:rsid w:val="008543D1"/>
    <w:rsid w:val="00911B87"/>
    <w:rsid w:val="0093350F"/>
    <w:rsid w:val="00981F59"/>
    <w:rsid w:val="009A71B9"/>
    <w:rsid w:val="00A04EF2"/>
    <w:rsid w:val="00A13310"/>
    <w:rsid w:val="00AA37EF"/>
    <w:rsid w:val="00AC6DA2"/>
    <w:rsid w:val="00AD3106"/>
    <w:rsid w:val="00AE2A46"/>
    <w:rsid w:val="00B601C5"/>
    <w:rsid w:val="00BA3F91"/>
    <w:rsid w:val="00C0571F"/>
    <w:rsid w:val="00C42C1E"/>
    <w:rsid w:val="00C54130"/>
    <w:rsid w:val="00CB7822"/>
    <w:rsid w:val="00CD148B"/>
    <w:rsid w:val="00CE4FEC"/>
    <w:rsid w:val="00CF770C"/>
    <w:rsid w:val="00D9698F"/>
    <w:rsid w:val="00DA6030"/>
    <w:rsid w:val="00DF4F81"/>
    <w:rsid w:val="00E22DF9"/>
    <w:rsid w:val="00E266ED"/>
    <w:rsid w:val="00E71FF8"/>
    <w:rsid w:val="00E745C0"/>
    <w:rsid w:val="00EE63EF"/>
    <w:rsid w:val="00F426DF"/>
    <w:rsid w:val="00FD2C70"/>
    <w:rsid w:val="00FD4F3D"/>
    <w:rsid w:val="033E3E23"/>
    <w:rsid w:val="03476A6A"/>
    <w:rsid w:val="058A7BFF"/>
    <w:rsid w:val="06940D25"/>
    <w:rsid w:val="07FF5ADC"/>
    <w:rsid w:val="0802152B"/>
    <w:rsid w:val="0D56153E"/>
    <w:rsid w:val="120E287C"/>
    <w:rsid w:val="13B04671"/>
    <w:rsid w:val="14E91070"/>
    <w:rsid w:val="160C2095"/>
    <w:rsid w:val="251506B7"/>
    <w:rsid w:val="252B2507"/>
    <w:rsid w:val="29313192"/>
    <w:rsid w:val="2935132D"/>
    <w:rsid w:val="2ADF395B"/>
    <w:rsid w:val="2BB2668C"/>
    <w:rsid w:val="2E3053C0"/>
    <w:rsid w:val="2F1F2802"/>
    <w:rsid w:val="2F9C0FBA"/>
    <w:rsid w:val="3020739B"/>
    <w:rsid w:val="32BA56CA"/>
    <w:rsid w:val="32DC6D4C"/>
    <w:rsid w:val="35A96C1A"/>
    <w:rsid w:val="3754420E"/>
    <w:rsid w:val="385C22B6"/>
    <w:rsid w:val="390022CF"/>
    <w:rsid w:val="39454350"/>
    <w:rsid w:val="394B155A"/>
    <w:rsid w:val="3B564520"/>
    <w:rsid w:val="3DEF72FC"/>
    <w:rsid w:val="3F65234F"/>
    <w:rsid w:val="4026518C"/>
    <w:rsid w:val="42E26C68"/>
    <w:rsid w:val="44825E9D"/>
    <w:rsid w:val="465B6525"/>
    <w:rsid w:val="4931391E"/>
    <w:rsid w:val="497732B5"/>
    <w:rsid w:val="4B1966D8"/>
    <w:rsid w:val="4FA02C96"/>
    <w:rsid w:val="54C36EDD"/>
    <w:rsid w:val="54DD4CA0"/>
    <w:rsid w:val="554457B1"/>
    <w:rsid w:val="556746FA"/>
    <w:rsid w:val="585429B7"/>
    <w:rsid w:val="588327BA"/>
    <w:rsid w:val="58B0495B"/>
    <w:rsid w:val="59A558C6"/>
    <w:rsid w:val="5A5D7542"/>
    <w:rsid w:val="5BB54A53"/>
    <w:rsid w:val="5C8C059E"/>
    <w:rsid w:val="5DB254B7"/>
    <w:rsid w:val="5E7C5381"/>
    <w:rsid w:val="5F200A56"/>
    <w:rsid w:val="60A96D67"/>
    <w:rsid w:val="61257815"/>
    <w:rsid w:val="638D50CE"/>
    <w:rsid w:val="66D62525"/>
    <w:rsid w:val="6ADE30B3"/>
    <w:rsid w:val="6B402968"/>
    <w:rsid w:val="6C681398"/>
    <w:rsid w:val="6C8B2184"/>
    <w:rsid w:val="6F7422C4"/>
    <w:rsid w:val="718374A7"/>
    <w:rsid w:val="721B0E2C"/>
    <w:rsid w:val="77A80988"/>
    <w:rsid w:val="79911B9C"/>
    <w:rsid w:val="7D176087"/>
    <w:rsid w:val="7D6608F4"/>
    <w:rsid w:val="7F3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2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0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font1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2">
    <w:name w:val="font3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E4D55-3989-467C-8433-18E7C18EB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1000</Words>
  <Characters>1292</Characters>
  <Lines>9</Lines>
  <Paragraphs>2</Paragraphs>
  <TotalTime>1</TotalTime>
  <ScaleCrop>false</ScaleCrop>
  <LinksUpToDate>false</LinksUpToDate>
  <CharactersWithSpaces>1316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2021-07-30T06:24:00Z</dcterms:created>
  <dc:creator>Windows 用户</dc:creator>
  <cp:lastModifiedBy>Administrator</cp:lastModifiedBy>
  <dcterms:modified xsi:type="dcterms:W3CDTF">2026-07-06T03:33:10Z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39AB9C66F57244A18129E9DB784B3D79</vt:lpwstr>
  </property>
</Properties>
</file>